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1F" w:rsidRPr="00657C70" w:rsidRDefault="002F2C06">
      <w:pPr>
        <w:rPr>
          <w:rFonts w:ascii="Arial" w:hAnsi="Arial" w:cs="Arial"/>
          <w:b/>
          <w:color w:val="000080"/>
          <w:sz w:val="62"/>
          <w:szCs w:val="62"/>
          <w:u w:val="single"/>
        </w:rPr>
      </w:pPr>
      <w:bookmarkStart w:id="0" w:name="_GoBack"/>
      <w:bookmarkEnd w:id="0"/>
      <w:r w:rsidRPr="00657C70">
        <w:rPr>
          <w:rFonts w:ascii="Arial" w:hAnsi="Arial" w:cs="Arial"/>
          <w:b/>
          <w:color w:val="000080"/>
          <w:sz w:val="62"/>
          <w:szCs w:val="62"/>
          <w:u w:val="single"/>
        </w:rPr>
        <w:t xml:space="preserve">Visumfreies Reisen in die USA </w:t>
      </w:r>
    </w:p>
    <w:p w:rsidR="002F2C06" w:rsidRDefault="002F2C06">
      <w:pPr>
        <w:rPr>
          <w:rFonts w:ascii="Arial" w:hAnsi="Arial" w:cs="Arial"/>
        </w:rPr>
      </w:pPr>
    </w:p>
    <w:p w:rsidR="006D1982" w:rsidRPr="002F2C06" w:rsidRDefault="006D1982">
      <w:pPr>
        <w:rPr>
          <w:rFonts w:ascii="Arial" w:hAnsi="Arial" w:cs="Arial"/>
        </w:rPr>
      </w:pPr>
    </w:p>
    <w:p w:rsidR="00483AF1" w:rsidRPr="00657C70" w:rsidRDefault="002F7AEC" w:rsidP="00657C7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007956" w:rsidRPr="00657C70">
        <w:rPr>
          <w:rFonts w:ascii="Arial" w:hAnsi="Arial" w:cs="Arial"/>
          <w:sz w:val="28"/>
          <w:szCs w:val="28"/>
        </w:rPr>
        <w:t xml:space="preserve">inreisende aus Ländern des “Visa </w:t>
      </w:r>
      <w:proofErr w:type="spellStart"/>
      <w:r w:rsidR="00007956" w:rsidRPr="00657C70">
        <w:rPr>
          <w:rFonts w:ascii="Arial" w:hAnsi="Arial" w:cs="Arial"/>
          <w:sz w:val="28"/>
          <w:szCs w:val="28"/>
        </w:rPr>
        <w:t>Waiver</w:t>
      </w:r>
      <w:proofErr w:type="spellEnd"/>
      <w:r w:rsidR="00007956" w:rsidRPr="00657C70">
        <w:rPr>
          <w:rFonts w:ascii="Arial" w:hAnsi="Arial" w:cs="Arial"/>
          <w:sz w:val="28"/>
          <w:szCs w:val="28"/>
        </w:rPr>
        <w:t>” Programms (VWP), al</w:t>
      </w:r>
      <w:r w:rsidR="00483AF1" w:rsidRPr="00657C70">
        <w:rPr>
          <w:rFonts w:ascii="Arial" w:hAnsi="Arial" w:cs="Arial"/>
          <w:sz w:val="28"/>
          <w:szCs w:val="28"/>
        </w:rPr>
        <w:t>so</w:t>
      </w:r>
      <w:r w:rsidR="00007956" w:rsidRPr="00657C70">
        <w:rPr>
          <w:rFonts w:ascii="Arial" w:hAnsi="Arial" w:cs="Arial"/>
          <w:sz w:val="28"/>
          <w:szCs w:val="28"/>
        </w:rPr>
        <w:t xml:space="preserve"> auch </w:t>
      </w:r>
      <w:r w:rsidR="004C72F3" w:rsidRPr="00657C70">
        <w:rPr>
          <w:rFonts w:ascii="Arial" w:hAnsi="Arial" w:cs="Arial"/>
          <w:sz w:val="28"/>
          <w:szCs w:val="28"/>
        </w:rPr>
        <w:t xml:space="preserve">alle </w:t>
      </w:r>
      <w:r w:rsidR="00007956" w:rsidRPr="00657C70">
        <w:rPr>
          <w:rFonts w:ascii="Arial" w:hAnsi="Arial" w:cs="Arial"/>
          <w:sz w:val="28"/>
          <w:szCs w:val="28"/>
        </w:rPr>
        <w:t>Deutsche</w:t>
      </w:r>
      <w:r w:rsidR="004C72F3" w:rsidRPr="00657C70">
        <w:rPr>
          <w:rFonts w:ascii="Arial" w:hAnsi="Arial" w:cs="Arial"/>
          <w:sz w:val="28"/>
          <w:szCs w:val="28"/>
        </w:rPr>
        <w:t>n</w:t>
      </w:r>
      <w:r w:rsidR="00007956" w:rsidRPr="00657C7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können </w:t>
      </w:r>
      <w:r w:rsidR="00007956" w:rsidRPr="00657C70">
        <w:rPr>
          <w:rFonts w:ascii="Arial" w:hAnsi="Arial" w:cs="Arial"/>
          <w:b/>
          <w:sz w:val="28"/>
          <w:szCs w:val="28"/>
        </w:rPr>
        <w:t>visumfrei</w:t>
      </w:r>
      <w:r w:rsidR="00483AF1" w:rsidRPr="00657C70">
        <w:rPr>
          <w:rFonts w:ascii="Arial" w:hAnsi="Arial" w:cs="Arial"/>
          <w:sz w:val="28"/>
          <w:szCs w:val="28"/>
        </w:rPr>
        <w:t xml:space="preserve"> auf dem See- oder Luftweg in die USA (auch Transit) </w:t>
      </w:r>
      <w:r w:rsidR="00483AF1" w:rsidRPr="00657C70">
        <w:rPr>
          <w:rFonts w:ascii="Arial" w:hAnsi="Arial" w:cs="Arial"/>
          <w:b/>
          <w:sz w:val="28"/>
          <w:szCs w:val="28"/>
        </w:rPr>
        <w:t>einreisen</w:t>
      </w:r>
      <w:r w:rsidR="00483AF1" w:rsidRPr="00657C70">
        <w:rPr>
          <w:rFonts w:ascii="Arial" w:hAnsi="Arial" w:cs="Arial"/>
          <w:sz w:val="28"/>
          <w:szCs w:val="28"/>
        </w:rPr>
        <w:t>.</w:t>
      </w:r>
      <w:r w:rsidR="00007956" w:rsidRPr="00657C70">
        <w:rPr>
          <w:rFonts w:ascii="Arial" w:hAnsi="Arial" w:cs="Arial"/>
          <w:sz w:val="28"/>
          <w:szCs w:val="28"/>
        </w:rPr>
        <w:t xml:space="preserve"> </w:t>
      </w:r>
    </w:p>
    <w:p w:rsidR="00483AF1" w:rsidRDefault="00483AF1" w:rsidP="00657C70">
      <w:pPr>
        <w:jc w:val="both"/>
        <w:rPr>
          <w:rFonts w:ascii="Arial" w:hAnsi="Arial" w:cs="Arial"/>
          <w:sz w:val="28"/>
          <w:szCs w:val="28"/>
        </w:rPr>
      </w:pPr>
    </w:p>
    <w:p w:rsidR="00A10BD9" w:rsidRPr="00657C70" w:rsidRDefault="00A10BD9" w:rsidP="00657C70">
      <w:pPr>
        <w:jc w:val="both"/>
        <w:rPr>
          <w:rFonts w:ascii="Arial" w:hAnsi="Arial" w:cs="Arial"/>
          <w:sz w:val="28"/>
          <w:szCs w:val="28"/>
        </w:rPr>
      </w:pPr>
    </w:p>
    <w:p w:rsidR="00483AF1" w:rsidRPr="00657C70" w:rsidRDefault="00483AF1" w:rsidP="00657C70">
      <w:pPr>
        <w:jc w:val="both"/>
        <w:rPr>
          <w:rFonts w:ascii="Arial" w:hAnsi="Arial" w:cs="Arial"/>
          <w:sz w:val="32"/>
          <w:szCs w:val="32"/>
        </w:rPr>
      </w:pPr>
      <w:r w:rsidRPr="00657C70">
        <w:rPr>
          <w:rFonts w:ascii="Arial" w:hAnsi="Arial" w:cs="Arial"/>
          <w:b/>
          <w:sz w:val="32"/>
          <w:szCs w:val="32"/>
        </w:rPr>
        <w:t>Zwingend</w:t>
      </w:r>
      <w:r w:rsidRPr="00657C70">
        <w:rPr>
          <w:rFonts w:ascii="Arial" w:hAnsi="Arial" w:cs="Arial"/>
          <w:sz w:val="32"/>
          <w:szCs w:val="32"/>
        </w:rPr>
        <w:t xml:space="preserve"> ist eine gebührenfreie </w:t>
      </w:r>
      <w:r w:rsidRPr="00657C70">
        <w:rPr>
          <w:rFonts w:ascii="Arial" w:hAnsi="Arial" w:cs="Arial"/>
          <w:b/>
          <w:sz w:val="32"/>
          <w:szCs w:val="32"/>
        </w:rPr>
        <w:t>elektronische Einreiseer</w:t>
      </w:r>
      <w:r w:rsidR="00691D2C">
        <w:rPr>
          <w:rFonts w:ascii="Arial" w:hAnsi="Arial" w:cs="Arial"/>
          <w:b/>
          <w:sz w:val="32"/>
          <w:szCs w:val="32"/>
        </w:rPr>
        <w:t>-</w:t>
      </w:r>
      <w:r w:rsidRPr="00657C70">
        <w:rPr>
          <w:rFonts w:ascii="Arial" w:hAnsi="Arial" w:cs="Arial"/>
          <w:b/>
          <w:sz w:val="32"/>
          <w:szCs w:val="32"/>
        </w:rPr>
        <w:t>laubnis</w:t>
      </w:r>
      <w:r w:rsidRPr="00657C70">
        <w:rPr>
          <w:rFonts w:ascii="Arial" w:hAnsi="Arial" w:cs="Arial"/>
          <w:sz w:val="32"/>
          <w:szCs w:val="32"/>
        </w:rPr>
        <w:t xml:space="preserve"> (Electronic System for Travel Authorization“</w:t>
      </w:r>
      <w:r w:rsidR="00691D2C">
        <w:rPr>
          <w:rFonts w:ascii="Arial" w:hAnsi="Arial" w:cs="Arial"/>
          <w:sz w:val="32"/>
          <w:szCs w:val="32"/>
        </w:rPr>
        <w:t xml:space="preserve"> </w:t>
      </w:r>
      <w:r w:rsidRPr="00657C70">
        <w:rPr>
          <w:rFonts w:ascii="Arial" w:hAnsi="Arial" w:cs="Arial"/>
          <w:sz w:val="32"/>
          <w:szCs w:val="32"/>
        </w:rPr>
        <w:t xml:space="preserve">-ESTA-), welche </w:t>
      </w:r>
      <w:r w:rsidRPr="00657C70">
        <w:rPr>
          <w:rFonts w:ascii="Arial" w:hAnsi="Arial" w:cs="Arial"/>
          <w:b/>
          <w:sz w:val="32"/>
          <w:szCs w:val="32"/>
        </w:rPr>
        <w:t>über das Internet</w:t>
      </w:r>
      <w:r w:rsidRPr="00657C70">
        <w:rPr>
          <w:rFonts w:ascii="Arial" w:hAnsi="Arial" w:cs="Arial"/>
          <w:sz w:val="32"/>
          <w:szCs w:val="32"/>
        </w:rPr>
        <w:t xml:space="preserve"> unter</w:t>
      </w:r>
    </w:p>
    <w:p w:rsidR="00483AF1" w:rsidRPr="00657C70" w:rsidRDefault="00483AF1" w:rsidP="00657C70">
      <w:pPr>
        <w:jc w:val="both"/>
        <w:rPr>
          <w:rFonts w:ascii="Arial" w:hAnsi="Arial" w:cs="Arial"/>
          <w:sz w:val="28"/>
          <w:szCs w:val="28"/>
        </w:rPr>
      </w:pPr>
    </w:p>
    <w:p w:rsidR="00A10BD9" w:rsidRDefault="00A10BD9" w:rsidP="00657C70">
      <w:pPr>
        <w:jc w:val="both"/>
        <w:rPr>
          <w:rFonts w:ascii="Arial" w:hAnsi="Arial" w:cs="Arial"/>
          <w:b/>
          <w:color w:val="000080"/>
          <w:sz w:val="36"/>
          <w:szCs w:val="36"/>
        </w:rPr>
      </w:pPr>
      <w:hyperlink r:id="rId6" w:history="1">
        <w:r w:rsidRPr="00D35984">
          <w:rPr>
            <w:rStyle w:val="Hyperlink"/>
            <w:rFonts w:ascii="Arial" w:hAnsi="Arial" w:cs="Arial"/>
            <w:b/>
            <w:sz w:val="36"/>
            <w:szCs w:val="36"/>
          </w:rPr>
          <w:t>https://esta.cbp.dhs.gov</w:t>
        </w:r>
      </w:hyperlink>
    </w:p>
    <w:p w:rsidR="00483AF1" w:rsidRPr="00657C70" w:rsidRDefault="00483AF1" w:rsidP="00657C70">
      <w:pPr>
        <w:jc w:val="both"/>
        <w:rPr>
          <w:rFonts w:ascii="Arial" w:hAnsi="Arial" w:cs="Arial"/>
          <w:sz w:val="28"/>
          <w:szCs w:val="28"/>
        </w:rPr>
      </w:pPr>
    </w:p>
    <w:p w:rsidR="00483AF1" w:rsidRPr="00657C70" w:rsidRDefault="0042422B" w:rsidP="00657C70">
      <w:pPr>
        <w:jc w:val="both"/>
        <w:rPr>
          <w:rFonts w:ascii="Arial" w:hAnsi="Arial" w:cs="Arial"/>
          <w:sz w:val="32"/>
          <w:szCs w:val="32"/>
        </w:rPr>
      </w:pPr>
      <w:r w:rsidRPr="00657C70">
        <w:rPr>
          <w:rFonts w:ascii="Arial" w:hAnsi="Arial" w:cs="Arial"/>
          <w:b/>
          <w:sz w:val="32"/>
          <w:szCs w:val="32"/>
        </w:rPr>
        <w:t>eingeh</w:t>
      </w:r>
      <w:r w:rsidR="00211E14" w:rsidRPr="00657C70">
        <w:rPr>
          <w:rFonts w:ascii="Arial" w:hAnsi="Arial" w:cs="Arial"/>
          <w:b/>
          <w:sz w:val="32"/>
          <w:szCs w:val="32"/>
        </w:rPr>
        <w:t>o</w:t>
      </w:r>
      <w:r w:rsidRPr="00657C70">
        <w:rPr>
          <w:rFonts w:ascii="Arial" w:hAnsi="Arial" w:cs="Arial"/>
          <w:b/>
          <w:sz w:val="32"/>
          <w:szCs w:val="32"/>
        </w:rPr>
        <w:t>lt</w:t>
      </w:r>
      <w:r w:rsidR="00483AF1" w:rsidRPr="00657C70">
        <w:rPr>
          <w:rFonts w:ascii="Arial" w:hAnsi="Arial" w:cs="Arial"/>
          <w:b/>
          <w:sz w:val="32"/>
          <w:szCs w:val="32"/>
        </w:rPr>
        <w:t xml:space="preserve"> werden muss</w:t>
      </w:r>
      <w:r w:rsidR="00483AF1" w:rsidRPr="00657C70">
        <w:rPr>
          <w:rFonts w:ascii="Arial" w:hAnsi="Arial" w:cs="Arial"/>
          <w:sz w:val="32"/>
          <w:szCs w:val="32"/>
        </w:rPr>
        <w:t>.</w:t>
      </w:r>
    </w:p>
    <w:p w:rsidR="00007956" w:rsidRDefault="00007956" w:rsidP="00657C70">
      <w:pPr>
        <w:jc w:val="both"/>
        <w:rPr>
          <w:rFonts w:ascii="Arial" w:hAnsi="Arial" w:cs="Arial"/>
          <w:sz w:val="28"/>
          <w:szCs w:val="28"/>
        </w:rPr>
      </w:pPr>
    </w:p>
    <w:p w:rsidR="00A10BD9" w:rsidRPr="00657C70" w:rsidRDefault="00A10BD9" w:rsidP="00657C70">
      <w:pPr>
        <w:jc w:val="both"/>
        <w:rPr>
          <w:rFonts w:ascii="Arial" w:hAnsi="Arial" w:cs="Arial"/>
          <w:sz w:val="28"/>
          <w:szCs w:val="28"/>
        </w:rPr>
      </w:pPr>
    </w:p>
    <w:p w:rsidR="00007956" w:rsidRPr="00657C70" w:rsidRDefault="00007956" w:rsidP="00657C70">
      <w:pPr>
        <w:jc w:val="both"/>
        <w:rPr>
          <w:rFonts w:ascii="Arial" w:hAnsi="Arial" w:cs="Arial"/>
          <w:sz w:val="28"/>
          <w:szCs w:val="28"/>
        </w:rPr>
      </w:pPr>
      <w:r w:rsidRPr="00657C70">
        <w:rPr>
          <w:rFonts w:ascii="Arial" w:hAnsi="Arial" w:cs="Arial"/>
          <w:sz w:val="28"/>
          <w:szCs w:val="28"/>
        </w:rPr>
        <w:t xml:space="preserve">Die Beantragung über Dritte (z.B. </w:t>
      </w:r>
      <w:r w:rsidR="00691D2C">
        <w:rPr>
          <w:rFonts w:ascii="Arial" w:hAnsi="Arial" w:cs="Arial"/>
          <w:sz w:val="28"/>
          <w:szCs w:val="28"/>
        </w:rPr>
        <w:t xml:space="preserve">Eltern/Kind, </w:t>
      </w:r>
      <w:r w:rsidRPr="00657C70">
        <w:rPr>
          <w:rFonts w:ascii="Arial" w:hAnsi="Arial" w:cs="Arial"/>
          <w:sz w:val="28"/>
          <w:szCs w:val="28"/>
        </w:rPr>
        <w:t>Reisebüro) ist möglich. Die einmal erteilte Erlaubnis gilt für beliebig viele Einreisen innerhalb eines Zeitraums von zwei Jahren. Nur bei folgenden Sondersituationen muss auch vor Ablauf von zwei Jahren</w:t>
      </w:r>
      <w:r w:rsidR="00E1584D" w:rsidRPr="00657C70">
        <w:rPr>
          <w:rFonts w:ascii="Arial" w:hAnsi="Arial" w:cs="Arial"/>
          <w:sz w:val="28"/>
          <w:szCs w:val="28"/>
        </w:rPr>
        <w:t xml:space="preserve"> eine neue „Travel Authorization“ beantragt werden</w:t>
      </w:r>
      <w:r w:rsidR="002360DB" w:rsidRPr="00657C70">
        <w:rPr>
          <w:rFonts w:ascii="Arial" w:hAnsi="Arial" w:cs="Arial"/>
          <w:sz w:val="28"/>
          <w:szCs w:val="28"/>
        </w:rPr>
        <w:t>:</w:t>
      </w:r>
    </w:p>
    <w:p w:rsidR="002360DB" w:rsidRPr="00657C70" w:rsidRDefault="002360DB">
      <w:pPr>
        <w:rPr>
          <w:rFonts w:ascii="Arial" w:hAnsi="Arial" w:cs="Arial"/>
          <w:sz w:val="28"/>
          <w:szCs w:val="28"/>
        </w:rPr>
      </w:pPr>
    </w:p>
    <w:p w:rsidR="002360DB" w:rsidRPr="00657C70" w:rsidRDefault="002360DB" w:rsidP="002360D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7C70">
        <w:rPr>
          <w:rFonts w:ascii="Arial" w:hAnsi="Arial" w:cs="Arial"/>
          <w:sz w:val="28"/>
          <w:szCs w:val="28"/>
        </w:rPr>
        <w:t>Wechsel des Reisepasses</w:t>
      </w:r>
    </w:p>
    <w:p w:rsidR="002360DB" w:rsidRPr="00657C70" w:rsidRDefault="002360DB" w:rsidP="002360D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7C70">
        <w:rPr>
          <w:rFonts w:ascii="Arial" w:hAnsi="Arial" w:cs="Arial"/>
          <w:sz w:val="28"/>
          <w:szCs w:val="28"/>
        </w:rPr>
        <w:t>Änderung des Namens</w:t>
      </w:r>
    </w:p>
    <w:p w:rsidR="002360DB" w:rsidRPr="00657C70" w:rsidRDefault="002360DB" w:rsidP="002360D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7C70">
        <w:rPr>
          <w:rFonts w:ascii="Arial" w:hAnsi="Arial" w:cs="Arial"/>
          <w:sz w:val="28"/>
          <w:szCs w:val="28"/>
        </w:rPr>
        <w:t>Wechsel der Staatsangehörigkeit</w:t>
      </w:r>
    </w:p>
    <w:p w:rsidR="002360DB" w:rsidRPr="00657C70" w:rsidRDefault="002360DB" w:rsidP="002360D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7C70">
        <w:rPr>
          <w:rFonts w:ascii="Arial" w:hAnsi="Arial" w:cs="Arial"/>
          <w:sz w:val="28"/>
          <w:szCs w:val="28"/>
        </w:rPr>
        <w:t>Wechsel des Geschlechts</w:t>
      </w:r>
    </w:p>
    <w:p w:rsidR="0042422B" w:rsidRPr="00657C70" w:rsidRDefault="0042422B" w:rsidP="002360D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7C70">
        <w:rPr>
          <w:rFonts w:ascii="Arial" w:hAnsi="Arial" w:cs="Arial"/>
          <w:sz w:val="28"/>
          <w:szCs w:val="28"/>
        </w:rPr>
        <w:t xml:space="preserve">Änderungen im ESTA-Antragsformular bei der Beantwortung </w:t>
      </w:r>
    </w:p>
    <w:p w:rsidR="006D1982" w:rsidRPr="00657C70" w:rsidRDefault="006D1982" w:rsidP="006D1982">
      <w:pPr>
        <w:rPr>
          <w:rFonts w:ascii="Arial" w:hAnsi="Arial" w:cs="Arial"/>
          <w:sz w:val="28"/>
          <w:szCs w:val="28"/>
        </w:rPr>
      </w:pPr>
    </w:p>
    <w:p w:rsidR="006D1982" w:rsidRPr="00657C70" w:rsidRDefault="006D1982" w:rsidP="00657C70">
      <w:pPr>
        <w:jc w:val="both"/>
        <w:rPr>
          <w:rFonts w:ascii="Arial" w:hAnsi="Arial" w:cs="Arial"/>
          <w:sz w:val="28"/>
          <w:szCs w:val="28"/>
        </w:rPr>
      </w:pPr>
      <w:r w:rsidRPr="00657C70">
        <w:rPr>
          <w:rFonts w:ascii="Arial" w:hAnsi="Arial" w:cs="Arial"/>
          <w:sz w:val="28"/>
          <w:szCs w:val="28"/>
        </w:rPr>
        <w:t>Die zuständigen US-Behörden empfehlen, den Antrag gemäß „ESTA“ nach Möglichkeit mindestens 72 Stunden vor Reiseantritt zu stellen.</w:t>
      </w:r>
    </w:p>
    <w:p w:rsidR="006D1982" w:rsidRPr="00657C70" w:rsidRDefault="006D1982" w:rsidP="00657C70">
      <w:pPr>
        <w:jc w:val="both"/>
        <w:rPr>
          <w:rFonts w:ascii="Arial" w:hAnsi="Arial" w:cs="Arial"/>
          <w:sz w:val="28"/>
          <w:szCs w:val="28"/>
        </w:rPr>
      </w:pPr>
    </w:p>
    <w:p w:rsidR="00A10BD9" w:rsidRPr="00657C70" w:rsidRDefault="006D1982" w:rsidP="00657C70">
      <w:pPr>
        <w:jc w:val="both"/>
        <w:rPr>
          <w:rFonts w:ascii="Arial" w:hAnsi="Arial" w:cs="Arial"/>
          <w:sz w:val="28"/>
          <w:szCs w:val="28"/>
        </w:rPr>
      </w:pPr>
      <w:r w:rsidRPr="00657C70">
        <w:rPr>
          <w:rFonts w:ascii="Arial" w:hAnsi="Arial" w:cs="Arial"/>
          <w:sz w:val="28"/>
          <w:szCs w:val="28"/>
        </w:rPr>
        <w:t xml:space="preserve">Für </w:t>
      </w:r>
      <w:r w:rsidRPr="00657C70">
        <w:rPr>
          <w:rFonts w:ascii="Arial" w:hAnsi="Arial" w:cs="Arial"/>
          <w:b/>
          <w:sz w:val="28"/>
          <w:szCs w:val="28"/>
        </w:rPr>
        <w:t>dienstliche Reisen</w:t>
      </w:r>
      <w:r w:rsidRPr="00657C70">
        <w:rPr>
          <w:rFonts w:ascii="Arial" w:hAnsi="Arial" w:cs="Arial"/>
          <w:sz w:val="28"/>
          <w:szCs w:val="28"/>
        </w:rPr>
        <w:t xml:space="preserve"> in die USA unter Nutzung eines Dienst- oder Diplomatenpasses </w:t>
      </w:r>
      <w:r w:rsidRPr="00657C70">
        <w:rPr>
          <w:rFonts w:ascii="Arial" w:hAnsi="Arial" w:cs="Arial"/>
          <w:b/>
          <w:sz w:val="28"/>
          <w:szCs w:val="28"/>
        </w:rPr>
        <w:t>gelten die neuen Bestimmungen nicht</w:t>
      </w:r>
      <w:r w:rsidRPr="00657C70">
        <w:rPr>
          <w:rFonts w:ascii="Arial" w:hAnsi="Arial" w:cs="Arial"/>
          <w:sz w:val="28"/>
          <w:szCs w:val="28"/>
        </w:rPr>
        <w:t xml:space="preserve">, da für solche </w:t>
      </w:r>
      <w:r w:rsidR="009E42FA">
        <w:rPr>
          <w:rFonts w:ascii="Arial" w:hAnsi="Arial" w:cs="Arial"/>
          <w:sz w:val="28"/>
          <w:szCs w:val="28"/>
        </w:rPr>
        <w:t>R</w:t>
      </w:r>
      <w:r w:rsidRPr="00657C70">
        <w:rPr>
          <w:rFonts w:ascii="Arial" w:hAnsi="Arial" w:cs="Arial"/>
          <w:sz w:val="28"/>
          <w:szCs w:val="28"/>
        </w:rPr>
        <w:t xml:space="preserve">eisen </w:t>
      </w:r>
      <w:r w:rsidRPr="00657C70">
        <w:rPr>
          <w:rFonts w:ascii="Arial" w:hAnsi="Arial" w:cs="Arial"/>
          <w:b/>
          <w:sz w:val="28"/>
          <w:szCs w:val="28"/>
        </w:rPr>
        <w:t>weiterhin Visumpflicht</w:t>
      </w:r>
      <w:r w:rsidRPr="00657C70">
        <w:rPr>
          <w:rFonts w:ascii="Arial" w:hAnsi="Arial" w:cs="Arial"/>
          <w:sz w:val="28"/>
          <w:szCs w:val="28"/>
        </w:rPr>
        <w:t xml:space="preserve"> besteht.</w:t>
      </w:r>
    </w:p>
    <w:p w:rsidR="006D1982" w:rsidRPr="00657C70" w:rsidRDefault="00A10BD9" w:rsidP="00657C70">
      <w:pPr>
        <w:jc w:val="both"/>
        <w:rPr>
          <w:rFonts w:ascii="Arial" w:hAnsi="Arial" w:cs="Arial"/>
          <w:sz w:val="28"/>
          <w:szCs w:val="28"/>
        </w:rPr>
      </w:pPr>
      <w:r w:rsidRPr="00657C70">
        <w:rPr>
          <w:rFonts w:ascii="Arial" w:hAnsi="Arial" w:cs="Arial"/>
          <w:sz w:val="28"/>
          <w:szCs w:val="28"/>
        </w:rPr>
        <w:t xml:space="preserve">Die Einreise in die USA über „ESTA“ auf dem Landweg aus Mexiko oder Kanada gilt </w:t>
      </w:r>
      <w:r w:rsidRPr="00657C70">
        <w:rPr>
          <w:rFonts w:ascii="Arial" w:hAnsi="Arial" w:cs="Arial"/>
          <w:b/>
          <w:sz w:val="28"/>
          <w:szCs w:val="28"/>
        </w:rPr>
        <w:t>ebenfalls nicht</w:t>
      </w:r>
      <w:r w:rsidRPr="00657C70">
        <w:rPr>
          <w:rFonts w:ascii="Arial" w:hAnsi="Arial" w:cs="Arial"/>
          <w:sz w:val="28"/>
          <w:szCs w:val="28"/>
        </w:rPr>
        <w:t>.</w:t>
      </w:r>
      <w:r w:rsidR="006D1982" w:rsidRPr="00657C70">
        <w:rPr>
          <w:rFonts w:ascii="Arial" w:hAnsi="Arial" w:cs="Arial"/>
          <w:sz w:val="28"/>
          <w:szCs w:val="28"/>
        </w:rPr>
        <w:t xml:space="preserve"> </w:t>
      </w:r>
      <w:r w:rsidRPr="00657C70">
        <w:rPr>
          <w:rFonts w:ascii="Arial" w:hAnsi="Arial" w:cs="Arial"/>
          <w:sz w:val="28"/>
          <w:szCs w:val="28"/>
        </w:rPr>
        <w:t xml:space="preserve">Dafür besteht </w:t>
      </w:r>
      <w:r w:rsidR="00DA29A1">
        <w:rPr>
          <w:rFonts w:ascii="Arial" w:hAnsi="Arial" w:cs="Arial"/>
          <w:sz w:val="28"/>
          <w:szCs w:val="28"/>
        </w:rPr>
        <w:t>auch</w:t>
      </w:r>
      <w:r w:rsidRPr="00657C70">
        <w:rPr>
          <w:rFonts w:ascii="Arial" w:hAnsi="Arial" w:cs="Arial"/>
          <w:sz w:val="28"/>
          <w:szCs w:val="28"/>
        </w:rPr>
        <w:t xml:space="preserve"> Visumpflicht.</w:t>
      </w:r>
    </w:p>
    <w:p w:rsidR="00A10BD9" w:rsidRPr="00657C70" w:rsidRDefault="00A10BD9" w:rsidP="00657C70">
      <w:pPr>
        <w:jc w:val="both"/>
        <w:rPr>
          <w:rFonts w:ascii="Arial" w:hAnsi="Arial" w:cs="Arial"/>
          <w:sz w:val="28"/>
          <w:szCs w:val="28"/>
        </w:rPr>
      </w:pPr>
    </w:p>
    <w:p w:rsidR="00A10BD9" w:rsidRPr="00657C70" w:rsidRDefault="00A10BD9" w:rsidP="00657C70">
      <w:pPr>
        <w:jc w:val="both"/>
        <w:rPr>
          <w:rFonts w:ascii="Arial" w:hAnsi="Arial" w:cs="Arial"/>
          <w:sz w:val="28"/>
          <w:szCs w:val="28"/>
        </w:rPr>
      </w:pPr>
      <w:r w:rsidRPr="00657C70">
        <w:rPr>
          <w:rFonts w:ascii="Arial" w:hAnsi="Arial" w:cs="Arial"/>
          <w:sz w:val="28"/>
          <w:szCs w:val="28"/>
        </w:rPr>
        <w:t xml:space="preserve">Weitere Informationen über „ESTA“ erhalten Sie auf der Webseite </w:t>
      </w:r>
    </w:p>
    <w:p w:rsidR="00A10BD9" w:rsidRPr="00657C70" w:rsidRDefault="00A10BD9" w:rsidP="00657C70">
      <w:pPr>
        <w:jc w:val="both"/>
        <w:rPr>
          <w:rFonts w:ascii="Arial" w:hAnsi="Arial" w:cs="Arial"/>
          <w:sz w:val="32"/>
          <w:szCs w:val="32"/>
        </w:rPr>
      </w:pPr>
      <w:hyperlink r:id="rId7" w:history="1">
        <w:r w:rsidRPr="00657C70">
          <w:rPr>
            <w:rStyle w:val="Hyperlink"/>
            <w:rFonts w:ascii="Arial" w:hAnsi="Arial" w:cs="Arial"/>
            <w:sz w:val="32"/>
            <w:szCs w:val="32"/>
          </w:rPr>
          <w:t>http://wwwcbp.gov/xp/cgov/travel/id_visa/esta/abaut:esta/</w:t>
        </w:r>
      </w:hyperlink>
    </w:p>
    <w:p w:rsidR="002360DB" w:rsidRPr="00007956" w:rsidRDefault="00A10BD9" w:rsidP="00657C70">
      <w:pPr>
        <w:jc w:val="both"/>
        <w:rPr>
          <w:rFonts w:ascii="Arial" w:hAnsi="Arial" w:cs="Arial"/>
        </w:rPr>
      </w:pPr>
      <w:r w:rsidRPr="00657C70">
        <w:rPr>
          <w:rFonts w:ascii="Arial" w:hAnsi="Arial" w:cs="Arial"/>
          <w:sz w:val="28"/>
          <w:szCs w:val="28"/>
        </w:rPr>
        <w:t>in englischer Sprache oder bei der nächsten US Auslandsvertretung.</w:t>
      </w:r>
    </w:p>
    <w:sectPr w:rsidR="002360DB" w:rsidRPr="00007956" w:rsidSect="002F2C0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72AA"/>
    <w:multiLevelType w:val="hybridMultilevel"/>
    <w:tmpl w:val="82C093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Full" w:cryptAlgorithmClass="hash" w:cryptAlgorithmType="typeAny" w:cryptAlgorithmSid="4" w:cryptSpinCount="100000" w:hash="xETw6od4CqFTopIMeWSMccukqn0=" w:salt="aH5Jq4sDRL0ifkFUxCPoA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1F"/>
    <w:rsid w:val="0000021F"/>
    <w:rsid w:val="00007956"/>
    <w:rsid w:val="000819A4"/>
    <w:rsid w:val="00211E14"/>
    <w:rsid w:val="002360DB"/>
    <w:rsid w:val="002F2C06"/>
    <w:rsid w:val="002F7AEC"/>
    <w:rsid w:val="0042422B"/>
    <w:rsid w:val="00483AF1"/>
    <w:rsid w:val="004C72F3"/>
    <w:rsid w:val="00657C70"/>
    <w:rsid w:val="00691D2C"/>
    <w:rsid w:val="006D1982"/>
    <w:rsid w:val="009D675A"/>
    <w:rsid w:val="009E42FA"/>
    <w:rsid w:val="00A10BD9"/>
    <w:rsid w:val="00C57DF3"/>
    <w:rsid w:val="00DA29A1"/>
    <w:rsid w:val="00E1584D"/>
    <w:rsid w:val="00E53E24"/>
    <w:rsid w:val="00F5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07956"/>
    <w:rPr>
      <w:rFonts w:ascii="Tahoma" w:hAnsi="Tahoma" w:cs="Tahoma"/>
      <w:sz w:val="16"/>
      <w:szCs w:val="16"/>
    </w:rPr>
  </w:style>
  <w:style w:type="character" w:styleId="Hyperlink">
    <w:name w:val="Hyperlink"/>
    <w:rsid w:val="00A10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07956"/>
    <w:rPr>
      <w:rFonts w:ascii="Tahoma" w:hAnsi="Tahoma" w:cs="Tahoma"/>
      <w:sz w:val="16"/>
      <w:szCs w:val="16"/>
    </w:rPr>
  </w:style>
  <w:style w:type="character" w:styleId="Hyperlink">
    <w:name w:val="Hyperlink"/>
    <w:rsid w:val="00A10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cbp.gov/xp/cgov/travel/id_visa/esta/abaut:e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ta.cbp.dh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2D311C77.dotm</Template>
  <TotalTime>0</TotalTime>
  <Pages>1</Pages>
  <Words>220</Words>
  <Characters>1388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Visumfreies Reisen in die USA </vt:lpstr>
    </vt:vector>
  </TitlesOfParts>
  <Company>Stadtverwaltung Cottbus</Company>
  <LinksUpToDate>false</LinksUpToDate>
  <CharactersWithSpaces>1605</CharactersWithSpaces>
  <SharedDoc>false</SharedDoc>
  <HLinks>
    <vt:vector size="12" baseType="variant">
      <vt:variant>
        <vt:i4>2293852</vt:i4>
      </vt:variant>
      <vt:variant>
        <vt:i4>3</vt:i4>
      </vt:variant>
      <vt:variant>
        <vt:i4>0</vt:i4>
      </vt:variant>
      <vt:variant>
        <vt:i4>5</vt:i4>
      </vt:variant>
      <vt:variant>
        <vt:lpwstr>http://wwwcbp.gov/xp/cgov/travel/id_visa/esta/abaut:esta/</vt:lpwstr>
      </vt:variant>
      <vt:variant>
        <vt:lpwstr/>
      </vt:variant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https://esta.cbp.dhs.gov/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Visumfreies Reisen in die USA</dc:title>
  <dc:creator>Stadtverwaltung Cottbus</dc:creator>
  <cp:lastModifiedBy>Hentschel, Kathrin</cp:lastModifiedBy>
  <cp:revision>2</cp:revision>
  <cp:lastPrinted>2008-12-11T13:09:00Z</cp:lastPrinted>
  <dcterms:created xsi:type="dcterms:W3CDTF">2020-04-02T11:59:00Z</dcterms:created>
  <dcterms:modified xsi:type="dcterms:W3CDTF">2020-04-02T11:59:00Z</dcterms:modified>
</cp:coreProperties>
</file>